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 Межведомственной комиссии 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both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both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реализации статьи 67 Федерального закона</w:t>
      </w:r>
      <w:r>
        <w:rPr>
          <w:color w:val="00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12.12.2023 </w:t>
        <w:br/>
        <w:t xml:space="preserve">№ 565-ФЗ </w:t>
      </w:r>
      <w:r>
        <w:rPr>
          <w:color w:val="auto"/>
          <w:sz w:val="28"/>
          <w:szCs w:val="28"/>
        </w:rPr>
        <w:t xml:space="preserve">«О занятости населения в Российской Федерации», </w:t>
      </w:r>
      <w:r>
        <w:rPr>
          <w:color w:val="auto"/>
          <w:sz w:val="28"/>
          <w:szCs w:val="28"/>
        </w:rPr>
        <w:t xml:space="preserve">постановления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</w:t>
      </w:r>
      <w:r>
        <w:rPr>
          <w:color w:val="000000"/>
          <w:sz w:val="28"/>
          <w:szCs w:val="28"/>
        </w:rPr>
        <w:t xml:space="preserve">, а также в целях обеспечения единой государственной политики </w:t>
        <w:br/>
        <w:t xml:space="preserve">в области противодействия нелегальной занятости в Еврейской автономной области правительство</w:t>
      </w:r>
      <w:r>
        <w:rPr>
          <w:color w:val="auto"/>
          <w:sz w:val="28"/>
          <w:szCs w:val="28"/>
        </w:rPr>
        <w:t xml:space="preserve"> Еврейской автономной области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rPr>
          <w:color w:val="auto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ПОСТАНОВЛЯЕТ: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1. Создать Межведомственную комиссию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2. Утвердить прилагаемые: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Положение 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Положение о порядке создания и деятельности рабочих групп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3.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екомендовать главам муниципальных районов, городского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в 30-дневный срок со дня вступления в силу настоящего постановления: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- утвердить положение о рабочей группе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занятости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auto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- утвердить состав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рабочей группы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Межведомственной комиссии </w:t>
        <w:br/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занятости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4. Настоящее постановление вступает в силу после дня его официального опубликования.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Губернатор области                                                                      Р.Э. Гольдштейн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shd w:val="nil" w:color="auto"/>
        <w:rPr>
          <w:rFonts w:eastAsia="Calibri"/>
          <w:color w:val="000000"/>
          <w:sz w:val="28"/>
          <w:szCs w:val="28"/>
          <w:highlight w:val="none"/>
          <w:lang w:eastAsia="en-US"/>
        </w:rPr>
        <w:sectPr>
          <w:headerReference w:type="default" r:id="rId9"/>
          <w:headerReference w:type="even" r:id="rId10"/>
          <w:headerReference w:type="first" r:id="rId11"/>
          <w:footerReference w:type="even" r:id="rId12"/>
          <w:footerReference w:type="first" r:id="rId13"/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shd w:val="nil" w:color="00000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УТВЕРЖДЕНО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постановлением правительства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______________ № _______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Положение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занятости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I. Общие положения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Межведомственная комиссия 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занятости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(далее – Межведомственная комиссия)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исполнительных органов Еврейской автономной области, 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рганов местного самоуправления области, государственных внебюджетных фондов, а также профессиональных союзов области, </w:t>
        <w:br/>
        <w:t xml:space="preserve">их объединений и работодателей области, их объединений.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ежведомственная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ми актами субъекта Российской Федерации, а также настоящим Положением.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3. Состав Межведомственной комиссии утверждается постановлением губернатора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II. Основные задачи Межведомственной комиссии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4. Основными задачами Межведомственной комиссии являются: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координация и обеспечение взаимодействия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органов исполнительной власти области, формируемых правительством области,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и контрольно-надзорных органов в целях реализации полномочий межведомственной комиссии;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осуществление мониторинга и анализа результатов работы Межведомственной комиссии и рабочих групп Межведомственной комиссии в муниципальных образованиях на территории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осуществление мониторинга результатов работы по противодействию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5. Межведомственная комиссия в рамках возложенных на нее задач осуществляет: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участие в мероприятиях, предусмотренных планом мероприятий </w:t>
        <w:br/>
        <w:t xml:space="preserve">по противодействию нелегальной занятости в Российской Федерации, утверждаемым Правительством Российской Федерации;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участие в мероприятиях, предусмотренных планом мероприятий </w:t>
        <w:br/>
        <w:t xml:space="preserve">по противодействию нелегальной занятости 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области, утверждаемым правительством области;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проведение анализа письменных обращений граждан и юридических лиц, поступивших 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органы исполнительной власти области, формируемые правительством области,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органы местного самоуправления муниципальных образований области, должностным лицам указанных органов, содержащих информацию о фактах (признаках) нелегаль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направление в органы регионального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проведение анализа результатов работы Межведомственной комиссии и рабочих групп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III. Права Межведомственной комиссии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6. Межведомственная комиссия для выполнения возложенных на нее задач имеет право: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а) приглашать на заседания Межведомственной комиссии </w:t>
        <w:br/>
        <w:t xml:space="preserve">и заслушивать должностных лиц и специалистов (экспертов) органов </w:t>
        <w:br/>
        <w:t xml:space="preserve">и организаций, не входящих в состав Межведомственной комиссии;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б) запрашивать у налоговых органов Российской Федерации сведения </w:t>
        <w:br/>
        <w:t xml:space="preserve">и информацию, в том числе составляющие налоговую тайну, перечень которых утверждается в соответствии с частью 3 статьи 67 Федерального закона «О занятости населения в Российской Федерации»;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в) запрашивать у органов государственной власти, органов местного самоуправления, государственных внебюджетных фондов информацию, включая персональные данные и сведения, в том числе: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использовании хозяйствующими субъектами объектов недвижимого имущества на территории муниципального образования </w:t>
        <w:br/>
        <w:t xml:space="preserve">в целях осуществления предпринимательской деятельности при отсутствии регистрации в установленном законодательством Российской Федерации поряд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ке в качестве юридического лица или индивидуального предпринимателя;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возможном использовании труда граждан без оформления трудовых отношений в соответствии с трудовым законодательством и (или) </w:t>
        <w:br/>
        <w:t xml:space="preserve">о возможном заключении гражданско-правовых договоров, фактически регулирующих трудовые отношения между работником и работодателем;
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 наличии информации о хозяйствующих субъектах, получивших </w:t>
        <w:br/>
        <w:t xml:space="preserve">из бюджета государственную поддержку для реализации мероприятий (работ, услуг);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 наличии информации о хозяйствующих субъектах, у которых объемы предоставляемых услуг (человеко-часы, нормы обслуживания) </w:t>
        <w:br/>
        <w:t xml:space="preserve">по заключенным государственным (муниципальным) контрактам </w:t>
        <w:br/>
        <w:t xml:space="preserve">не соответствуют численности работников, указанной в отчетности;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г) рассматривать на заседаниях Межведомственной комиссии ситуации, связанные: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 осуществлением трудовой деятельности в нарушение установленного трудовым законодательством порядка оформления трудовых отношений;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</w:t>
        <w:br/>
        <w:t xml:space="preserve">на профессиональный доход»;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д)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осуществлять информирование граждан в средствах массовой информации о негативных последствиях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е) организовать «горячую линию» по приему жалоб населения </w:t>
        <w:br/>
        <w:t xml:space="preserve">по фактам осуществления трудовой деятельности, имеющей признаки нелегальной занятости, и оперативному реагированию на такие жалобы.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7. Направление запросов, подготовка соответствующей информации,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лях противодействия нелегальной занятости осуществляются в следующем порядке: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) запросы Межведомственной комиссии в рамках организации работы, в том числе запросы информации и сведений, необходимых для рабочих групп Межведомственной комиссии, оформляются на официальных бланках Межведомственной комиссии и подписываются председателем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или его заместителем;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б) срок рассмотрения запросов Межведомственной комиссии </w:t>
        <w:br/>
        <w:t xml:space="preserve">о представлении необходимых материалов и информации органами </w:t>
        <w:br/>
        <w:t xml:space="preserve">и организациями не должен превышать 15 календарных дней со дня регистрации соответствующего запроса Межведомственной комиссии;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)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</w:t>
        <w:br/>
        <w:t xml:space="preserve">в целях противодействия нелегальной занятости оформляется в виде п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ротокольных решений заседаний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8. Межведомственная комиссия: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а) рассматривает предложения региональных контрольных (надзорных) органов по вопросам противодействия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б) пользуется государственными информационными системами </w:t>
        <w:br/>
        <w:t xml:space="preserve">в случаях и порядке, которые предусмотрены законодательством Российской Федерации;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в) определяет перечень рабочих групп, которые будут являться неотъемлемой частью Межведомственной комиссии;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г) обеспечивает размещение на официальном сайте правительства области в информационно-телекоммуникационной сети «Интернет» актуальной информации о работе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9.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При наличии у Межведомственной комиссии информации </w:t>
        <w:br/>
        <w:t xml:space="preserve">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</w:t>
        <w:br/>
        <w:t xml:space="preserve">и выполнившим нор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мы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труда (трудовые обязанности), ниже установленного минимального размера оплаты труда Межведомственная комиссия направляет соответствующую информацию в Государственную инспекцию труда в Еврейской автономной области для рассмотрения вопроса </w:t>
        <w:br/>
        <w:t xml:space="preserve">о проведении конт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рольных (надзорных) мероприятий.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IV. Организация работы Межведомственной комиссии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10. Работа Межведомственной комиссии осуществляется в форме заседаний, которые могут быть проведены в очном формате или в формате видео-конференц-связи.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11. Состав Межведомственной комиссии утверждается губернатором области.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Межведомственная комиссия формируется в составе председателя Межведомственной комиссии, заместителя председателя Межведомственной комиссии, членов Межведомственной комиссии и ответственного секретаря Межведомственной комиссии.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Председатель Межведомственной комиссии руководит ее деятельностью и несет ответственность за выполнение возложенных </w:t>
        <w:br/>
        <w:t xml:space="preserve">на Межведомственную комиссию задач.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случае отсутствия председателя Межведомственной комиссии его полномочия осуществляет заместитель председателя Межведомственной комиссии.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Члены Межведомственной комиссии не вправе разглашать сведения, ставшие им известными в ходе работы.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12. Заседания Межведомственной комиссии проводятся по мере необходимости, но не реже одного раза в квартал.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Заседание Межведомственной комиссии считается правомочным, если на нем присутствует более половины ее членов.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Заседания Межведомственной комиссии ведет председатель Межведомственной комиссии, а в случае его отсутствия – заместитель председателя Межведомственной комиссии.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Решения Межведомственной комиссии принимаются большинством голосов присутствующих на заседании членов Межведомственной комиссии. В случае равенства голосов решающим является голос председателя Межведомственной комиссии или лица, его замещающего.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Подготовка и организация проведения заседаний </w:t>
        <w:br/>
        <w:t xml:space="preserve">Межведомственной комиссии осуществляются ответственным секретарем Межведомственной комиссии.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13. Решения Межведомственной комиссии оформляются протоколом, который подписывается председательствующим на заседании Межведомственной комиссии.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14. Решения межведомственной комиссии, принятые в пределах ее компетенции, направляются членам Межведомственной комиссии, а также работодателям, рассмотренным и (или) заслушанным на заседаниях Межведомственной комиссии.</w:t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15. Контроль за исполнением решений Межведомственной комиссии осуществляет председатель (заместитель председателя)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16. Организационное обеспечение деятельности Межведомственной комиссии осуществляет департамент по труду и занятости населения правительства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shd w:val="nil" w:color="auto"/>
        <w:rPr>
          <w:rFonts w:eastAsia="Calibri"/>
          <w:color w:val="000000"/>
          <w:sz w:val="28"/>
          <w:szCs w:val="28"/>
          <w:highlight w:val="none"/>
          <w:lang w:eastAsia="en-US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shd w:val="nil" w:color="00000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УТВЕРЖДЕНО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постановлением правительства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______________ № _______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Положение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порядке создания и деятельности рабочих групп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I. Общие положения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ff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Рабочая группа Межведомственной комиссии 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занятости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(далее – рабочая группа) является неотъемлемой частью Межведомственной комиссии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занятости на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 (далее – Межведомственная комиссия)</w:t>
      </w:r>
      <w:r>
        <w:rPr>
          <w:color w:val="ff0000"/>
          <w:sz w:val="28"/>
          <w:szCs w:val="28"/>
        </w:rPr>
        <w:t xml:space="preserve">.</w:t>
      </w:r>
      <w:r>
        <w:rPr>
          <w:rFonts w:eastAsia="Calibri"/>
          <w:color w:val="ff0000"/>
          <w:sz w:val="28"/>
          <w:szCs w:val="28"/>
          <w:highlight w:val="none"/>
        </w:rPr>
      </w:r>
      <w:r>
        <w:rPr>
          <w:rFonts w:eastAsia="Calibri"/>
          <w:color w:val="ff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Рабочая группа создается в целях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реализации задач </w:t>
        <w:br/>
        <w:t xml:space="preserve">по противодействию нелегальной занятости на территории муниципального образования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2. Рабочая группа в своей деятельности 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ми актами субъекта Российской Федерации, а также настоящим Положением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3.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Рабочая группа осуществляет свою деятельность </w:t>
        <w:br/>
        <w:t xml:space="preserve">во взаимодействии с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комиссией,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территориальными органами федеральных органов исполнительной власти, органами исполнительной власти Еврейской автономной области (далее – область), формируемыми правительством области, государственными внебюджетными фондами, органами местного самоуправлени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я области, профсоюзами области, объединениями работодателей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4. Состав рабочей группы утверждается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главой администрации муниципального района (городского округа)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В состав рабочей группы входят представители администрации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района (городского округа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) области, заинтересованных территориальных органов федеральных органов исполнительной власти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(по согласованию), государственных внебюджетных фондов </w:t>
        <w:br/>
        <w:t xml:space="preserve">(по согл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асованию), представители иных заинтересов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анных органов </w:t>
        <w:br/>
        <w:t xml:space="preserve">и организаций (по согласованию).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Председатели рабочих групп входят в состав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Участие представителей органов прокуратуры в заседаниях рабочих групп возможно по приглашению председателя (заместителя председателя) рабочей группы без вхождения в ее состав.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II. Основные задачи рабочей группы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6. Основными задачами рабочей группы являются: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противодействие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pStyle w:val="948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координация и</w:t>
      </w:r>
      <w:r>
        <w:rPr>
          <w:color w:val="000000"/>
        </w:rPr>
        <w:t xml:space="preserve"> обеспечение взаимодействия </w:t>
      </w:r>
      <w:r>
        <w:rPr>
          <w:color w:val="000000"/>
        </w:rPr>
        <w:t xml:space="preserve">органов местного самоуправления муниципальных образований области </w:t>
      </w:r>
      <w:r>
        <w:rPr>
          <w:color w:val="000000"/>
        </w:rPr>
        <w:t xml:space="preserve">и контрольно-надзорных органов в целях реализации полномочий</w:t>
      </w:r>
      <w:r>
        <w:rPr>
          <w:color w:val="000000"/>
        </w:rPr>
        <w:t xml:space="preserve"> рабочей группы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pStyle w:val="948"/>
        <w:ind w:firstLine="709"/>
        <w:jc w:val="both"/>
        <w:spacing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осуществление мониторинга и анализа результатов работы </w:t>
        <w:br/>
        <w:t xml:space="preserve">по против</w:t>
      </w:r>
      <w:r>
        <w:rPr>
          <w:color w:val="000000"/>
        </w:rPr>
        <w:t xml:space="preserve">одействию нелегальной </w:t>
      </w:r>
      <w:r>
        <w:rPr>
          <w:color w:val="000000"/>
        </w:rPr>
        <w:t xml:space="preserve">занятости в муниципальных образованиях области.</w:t>
      </w:r>
      <w:r>
        <w:rPr>
          <w:color w:val="000000"/>
        </w:rPr>
      </w:r>
      <w:r>
        <w:rPr>
          <w:color w:val="000000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7. Рабочая группа в рамках возложенных на нее задач осуществляет: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участие в мероприятиях, предусмотренных планом мероприятий </w:t>
        <w:br/>
        <w:t xml:space="preserve">по противодействию нелегальной занятости в области, утверждаемым правительством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проведение анализа письменных обращений граждан и юридических лиц, поступивших 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органы местного самоуправления муниципальных образований области, содержащих информацию о фактах (признаках) нелегаль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- размещение на официальном сайте администрации муниципального района (городского округа) области в информационно-телекоммуникационной сети «Интернет» актуальной информации о работе рабочей группы.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jc w:val="center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III. Права рабочей группы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8. Рабочая группа для выполнения возложенных на нее задач имеет право: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а) приглашать на заседания рабочей группы и заслушивать работодателей и работников;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б) рассматривать на заседаниях рабочей группы ситуации, связанные: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- с осуществлением трудовой деятельности в нарушение установленного трудовым законодательством порядка оформления трудовых отношений;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- 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- 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</w:t>
        <w:br/>
        <w:t xml:space="preserve">на профессиональный доход»;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в) осуществлять информирование граждан в средствах массовой информации о негативных последствиях нелегальной занятости;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г) организовать «горячую линию» по приему жалоб населения </w:t>
        <w:br/>
        <w:t xml:space="preserve">по фактам осуществления трудовой деятельности, имеющей признаки нелегальной занятости, и оперативному реагированию на такие жалобы.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IV. Организация работы рабочей группы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9.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Работа рабочей группы осуществляется в форме заседаний </w:t>
        <w:br/>
        <w:t xml:space="preserve">и адресной работы членов рабочей группы с работодателями, работниками, гражданами.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10. Состав рабочей группы утверждается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главой администрации муниципального района (городского округа) 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Рабочая группа формируется в составе председателя рабочей группы, заместителя председателя рабочей группы, членов рабочей группы </w:t>
        <w:br/>
        <w:t xml:space="preserve">и ответственного секретаря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Председатель рабочей группы назначае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тся из числа заместителей главы администрации муниципального района (городского округа) области. Председатель рабочей группы руководит ее деятельностью и несет ответственность за выполнение возложенных на рабочую группу задач.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случае отсутствия председателя рабочей группы его полномочия осуществляет заместитель председателя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Члены рабочей группы не вправе разглашать сведения, ставшие </w:t>
        <w:br/>
        <w:t xml:space="preserve">им известными в ходе работы.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11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 Заседания рабочей группы проводятся по мере необходимости, </w:t>
        <w:br/>
        <w:t xml:space="preserve">но не реже одного раза в квартал. Заседания рабочей группы проводит председатель рабочей группы, в случае его отсутствия обязанности председателя рабочей группы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осуществляет заместитель председателя рабочей группы.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Заседание рабочей группы считается правомочным, если на нем присутствует более половины ее членов.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12.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Решения рабочей группы принимаются большинством голосов </w:t>
        <w:br/>
        <w:t xml:space="preserve">от общего числа присутствующих на заседании членов рабочей группы </w:t>
        <w:br/>
        <w:t xml:space="preserve">и оформляются протоколом.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Каждый член рабочей группы имеет один голос.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13.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случае равенства голосов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решающим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является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голос председателя рабочей группы или лица, его замещающего. Протокол рабочей группы подписывается председательствующим на заседании рабочей группы </w:t>
        <w:br/>
        <w:t xml:space="preserve">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ответственным секретарем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Решения рабочей группы, принятые в пределах ее компетенции, направляются членам рабочей группы, в департамент по труду и занятости населения правительства области, а также работодателям, рассмотренным </w:t>
        <w:br/>
        <w:t xml:space="preserve">и (или) заслушанным на заседаниях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14. Организационное обеспечение деятельности рабочей группы осуществляет ответственный секретарь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15. Контроль за исполнением решений рабочей группы осуществляет председатель (заместитель председателя)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Приложение № 1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jc w:val="left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 Положению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порядке создания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jc w:val="left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и деятельности рабочих групп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jc w:val="left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jc w:val="left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jc w:val="left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jc w:val="left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r/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Перечень муниципальных образований,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на территориях которых создаются рабочие группы Межведомственной комиссии по противодействию нелегальной занятости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которые являются ее неотъемлемой частью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r/>
      <w:r/>
    </w:p>
    <w:p>
      <w:r/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1) Муниципальное образование «Город Биробиджан» Еврейской автономной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2)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Муниципальное образование «Биробиджанский муниципальный район» Еврейской автономной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3)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Муниципальное образование «Ленинский муниципальный район» Еврейской автономной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4)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Муниципальное образование «Облученский муниципальный район» Еврейской автономной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5)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Муниципальное образование «Смидовичский муниципальный район» Еврейской автономной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6)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Муниципальное образование «Октябрьский муниципальный район» Еврейской автономной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/>
      <w:r/>
    </w:p>
    <w:sectPr>
      <w:footnotePr/>
      <w:endnotePr/>
      <w:type w:val="nextPage"/>
      <w:pgSz w:w="11905" w:h="16838" w:orient="portrait"/>
      <w:pgMar w:top="1134" w:right="850" w:bottom="1134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fldSimple w:instr="PAGE \* MERGEFORMAT">
      <w:r>
        <w:t xml:space="preserve">1</w:t>
      </w:r>
    </w:fldSimple>
    <w:r/>
    <w:r/>
  </w:p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/>
    <w:r/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2 Char"/>
    <w:basedOn w:val="764"/>
    <w:link w:val="756"/>
    <w:uiPriority w:val="9"/>
    <w:rPr>
      <w:rFonts w:ascii="Arial" w:hAnsi="Arial" w:eastAsia="Arial" w:cs="Arial"/>
      <w:sz w:val="34"/>
    </w:rPr>
  </w:style>
  <w:style w:type="character" w:styleId="741">
    <w:name w:val="Heading 3 Char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42">
    <w:name w:val="Heading 4 Char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43">
    <w:name w:val="Heading 5 Char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44">
    <w:name w:val="Heading 6 Char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45">
    <w:name w:val="Heading 7 Char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8 Char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47">
    <w:name w:val="Heading 9 Char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748">
    <w:name w:val="Title Char"/>
    <w:basedOn w:val="764"/>
    <w:link w:val="778"/>
    <w:uiPriority w:val="10"/>
    <w:rPr>
      <w:sz w:val="48"/>
      <w:szCs w:val="48"/>
    </w:rPr>
  </w:style>
  <w:style w:type="character" w:styleId="749">
    <w:name w:val="Subtitle Char"/>
    <w:basedOn w:val="764"/>
    <w:link w:val="780"/>
    <w:uiPriority w:val="11"/>
    <w:rPr>
      <w:sz w:val="24"/>
      <w:szCs w:val="24"/>
    </w:rPr>
  </w:style>
  <w:style w:type="character" w:styleId="750">
    <w:name w:val="Quote Char"/>
    <w:link w:val="782"/>
    <w:uiPriority w:val="29"/>
    <w:rPr>
      <w:i/>
    </w:rPr>
  </w:style>
  <w:style w:type="character" w:styleId="751">
    <w:name w:val="Intense Quote Char"/>
    <w:link w:val="784"/>
    <w:uiPriority w:val="30"/>
    <w:rPr>
      <w:i/>
    </w:rPr>
  </w:style>
  <w:style w:type="character" w:styleId="752">
    <w:name w:val="Footnote Text Char"/>
    <w:link w:val="915"/>
    <w:uiPriority w:val="99"/>
    <w:rPr>
      <w:sz w:val="18"/>
    </w:rPr>
  </w:style>
  <w:style w:type="character" w:styleId="753">
    <w:name w:val="Endnote Text Char"/>
    <w:link w:val="918"/>
    <w:uiPriority w:val="99"/>
    <w:rPr>
      <w:sz w:val="20"/>
    </w:rPr>
  </w:style>
  <w:style w:type="paragraph" w:styleId="754" w:default="1">
    <w:name w:val="Normal"/>
    <w:qFormat/>
    <w:rPr>
      <w:sz w:val="24"/>
      <w:szCs w:val="24"/>
    </w:rPr>
  </w:style>
  <w:style w:type="paragraph" w:styleId="755">
    <w:name w:val="Heading 1"/>
    <w:basedOn w:val="754"/>
    <w:next w:val="754"/>
    <w:link w:val="941"/>
    <w:qFormat/>
    <w:pPr>
      <w:jc w:val="both"/>
      <w:keepNext/>
      <w:tabs>
        <w:tab w:val="left" w:pos="6804" w:leader="none"/>
      </w:tabs>
      <w:outlineLvl w:val="0"/>
    </w:pPr>
    <w:rPr>
      <w:sz w:val="28"/>
      <w:szCs w:val="20"/>
    </w:rPr>
  </w:style>
  <w:style w:type="paragraph" w:styleId="756">
    <w:name w:val="Heading 2"/>
    <w:basedOn w:val="754"/>
    <w:next w:val="754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7">
    <w:name w:val="Heading 3"/>
    <w:basedOn w:val="754"/>
    <w:next w:val="754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8">
    <w:name w:val="Heading 4"/>
    <w:basedOn w:val="754"/>
    <w:next w:val="754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0">
    <w:name w:val="Heading 6"/>
    <w:basedOn w:val="754"/>
    <w:next w:val="754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754"/>
    <w:next w:val="754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1 Char"/>
    <w:basedOn w:val="764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basedOn w:val="764"/>
    <w:link w:val="756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54"/>
    <w:uiPriority w:val="34"/>
    <w:qFormat/>
    <w:pPr>
      <w:contextualSpacing/>
      <w:ind w:left="720"/>
    </w:pPr>
  </w:style>
  <w:style w:type="paragraph" w:styleId="777">
    <w:name w:val="No Spacing"/>
    <w:uiPriority w:val="1"/>
    <w:qFormat/>
  </w:style>
  <w:style w:type="paragraph" w:styleId="778">
    <w:name w:val="Title"/>
    <w:basedOn w:val="754"/>
    <w:next w:val="754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basedOn w:val="764"/>
    <w:link w:val="778"/>
    <w:uiPriority w:val="10"/>
    <w:rPr>
      <w:sz w:val="48"/>
      <w:szCs w:val="48"/>
    </w:rPr>
  </w:style>
  <w:style w:type="paragraph" w:styleId="780">
    <w:name w:val="Subtitle"/>
    <w:basedOn w:val="754"/>
    <w:next w:val="754"/>
    <w:link w:val="781"/>
    <w:uiPriority w:val="11"/>
    <w:qFormat/>
    <w:pPr>
      <w:spacing w:before="200" w:after="200"/>
    </w:pPr>
  </w:style>
  <w:style w:type="character" w:styleId="781" w:customStyle="1">
    <w:name w:val="Подзаголовок Знак"/>
    <w:basedOn w:val="764"/>
    <w:link w:val="780"/>
    <w:uiPriority w:val="11"/>
    <w:rPr>
      <w:sz w:val="24"/>
      <w:szCs w:val="24"/>
    </w:rPr>
  </w:style>
  <w:style w:type="paragraph" w:styleId="782">
    <w:name w:val="Quote"/>
    <w:basedOn w:val="754"/>
    <w:next w:val="754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4"/>
    <w:next w:val="754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64"/>
    <w:uiPriority w:val="99"/>
  </w:style>
  <w:style w:type="character" w:styleId="787" w:customStyle="1">
    <w:name w:val="Footer Char"/>
    <w:basedOn w:val="764"/>
    <w:uiPriority w:val="99"/>
  </w:style>
  <w:style w:type="paragraph" w:styleId="788">
    <w:name w:val="Caption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 w:customStyle="1">
    <w:name w:val="Caption Char"/>
    <w:uiPriority w:val="99"/>
  </w:style>
  <w:style w:type="table" w:styleId="790" w:customStyle="1">
    <w:name w:val="Table Grid Light"/>
    <w:basedOn w:val="7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1"/>
    <w:basedOn w:val="7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Plain Table 2"/>
    <w:basedOn w:val="76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Plain Table 3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 w:customStyle="1">
    <w:name w:val="Plain Table 4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Plain Table 5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1 Light"/>
    <w:basedOn w:val="76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2"/>
    <w:basedOn w:val="7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"/>
    <w:basedOn w:val="7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4"/>
    <w:basedOn w:val="76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6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"/>
    <w:basedOn w:val="76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"/>
    <w:basedOn w:val="76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"/>
    <w:basedOn w:val="76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"/>
    <w:basedOn w:val="76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basedOn w:val="76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 w:customStyle="1">
    <w:name w:val="Grid Table 5 Dark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6 Colorful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6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"/>
    <w:basedOn w:val="76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"/>
    <w:basedOn w:val="76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"/>
    <w:basedOn w:val="76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7 Colorful"/>
    <w:basedOn w:val="76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6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6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6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2"/>
    <w:basedOn w:val="76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 w:customStyle="1">
    <w:name w:val="List Table 3"/>
    <w:basedOn w:val="7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"/>
    <w:basedOn w:val="7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5 Dark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6 Colorful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 w:customStyle="1">
    <w:name w:val="List Table 7 Colorful"/>
    <w:basedOn w:val="76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6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6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6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6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6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6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basedOn w:val="76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basedOn w:val="7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basedOn w:val="7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basedOn w:val="7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basedOn w:val="7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5">
    <w:name w:val="footnote text"/>
    <w:basedOn w:val="754"/>
    <w:link w:val="916"/>
    <w:uiPriority w:val="99"/>
    <w:semiHidden/>
    <w:unhideWhenUsed/>
    <w:pPr>
      <w:spacing w:after="40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4"/>
    <w:uiPriority w:val="99"/>
    <w:unhideWhenUsed/>
    <w:rPr>
      <w:vertAlign w:val="superscript"/>
    </w:rPr>
  </w:style>
  <w:style w:type="paragraph" w:styleId="918">
    <w:name w:val="endnote text"/>
    <w:basedOn w:val="754"/>
    <w:link w:val="919"/>
    <w:uiPriority w:val="99"/>
    <w:semiHidden/>
    <w:unhideWhenUsed/>
    <w:rPr>
      <w:sz w:val="20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4"/>
    <w:uiPriority w:val="99"/>
    <w:semiHidden/>
    <w:unhideWhenUsed/>
    <w:rPr>
      <w:vertAlign w:val="superscript"/>
    </w:rPr>
  </w:style>
  <w:style w:type="paragraph" w:styleId="921">
    <w:name w:val="toc 1"/>
    <w:basedOn w:val="754"/>
    <w:next w:val="754"/>
    <w:uiPriority w:val="39"/>
    <w:unhideWhenUsed/>
    <w:pPr>
      <w:spacing w:after="57"/>
    </w:pPr>
  </w:style>
  <w:style w:type="paragraph" w:styleId="922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23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24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25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26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27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28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29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4"/>
    <w:next w:val="754"/>
    <w:uiPriority w:val="99"/>
    <w:unhideWhenUsed/>
  </w:style>
  <w:style w:type="paragraph" w:styleId="932" w:customStyle="1">
    <w:name w:val="ConsPlusNormal"/>
    <w:pPr>
      <w:widowControl w:val="off"/>
    </w:pPr>
    <w:rPr>
      <w:sz w:val="24"/>
    </w:rPr>
  </w:style>
  <w:style w:type="paragraph" w:styleId="933" w:customStyle="1">
    <w:name w:val="ConsPlusTitle"/>
    <w:uiPriority w:val="99"/>
    <w:pPr>
      <w:widowControl w:val="off"/>
    </w:pPr>
    <w:rPr>
      <w:b/>
      <w:sz w:val="24"/>
    </w:rPr>
  </w:style>
  <w:style w:type="paragraph" w:styleId="934" w:customStyle="1">
    <w:name w:val="ConsPlusTitlePage"/>
    <w:uiPriority w:val="99"/>
    <w:pPr>
      <w:widowControl w:val="off"/>
    </w:pPr>
    <w:rPr>
      <w:rFonts w:ascii="Tahoma" w:hAnsi="Tahoma" w:cs="Tahoma"/>
    </w:rPr>
  </w:style>
  <w:style w:type="character" w:styleId="935">
    <w:name w:val="Hyperlink"/>
    <w:uiPriority w:val="99"/>
    <w:rPr>
      <w:rFonts w:cs="Times New Roman"/>
      <w:color w:val="0000ff"/>
      <w:u w:val="single"/>
    </w:rPr>
  </w:style>
  <w:style w:type="paragraph" w:styleId="936">
    <w:name w:val="Header"/>
    <w:basedOn w:val="754"/>
    <w:link w:val="937"/>
    <w:uiPriority w:val="99"/>
    <w:pPr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link w:val="936"/>
    <w:uiPriority w:val="99"/>
    <w:semiHidden/>
    <w:rPr>
      <w:rFonts w:cs="Times New Roman"/>
      <w:sz w:val="24"/>
      <w:szCs w:val="24"/>
    </w:rPr>
  </w:style>
  <w:style w:type="character" w:styleId="938">
    <w:name w:val="page number"/>
    <w:uiPriority w:val="99"/>
    <w:rPr>
      <w:rFonts w:cs="Times New Roman"/>
    </w:rPr>
  </w:style>
  <w:style w:type="paragraph" w:styleId="939">
    <w:name w:val="Footer"/>
    <w:basedOn w:val="754"/>
    <w:link w:val="940"/>
    <w:uiPriority w:val="99"/>
    <w:pPr>
      <w:tabs>
        <w:tab w:val="center" w:pos="4677" w:leader="none"/>
        <w:tab w:val="right" w:pos="9355" w:leader="none"/>
      </w:tabs>
    </w:pPr>
  </w:style>
  <w:style w:type="character" w:styleId="940" w:customStyle="1">
    <w:name w:val="Нижний колонтитул Знак"/>
    <w:link w:val="939"/>
    <w:uiPriority w:val="99"/>
    <w:semiHidden/>
    <w:rPr>
      <w:rFonts w:cs="Times New Roman"/>
      <w:sz w:val="24"/>
      <w:szCs w:val="24"/>
    </w:rPr>
  </w:style>
  <w:style w:type="character" w:styleId="941" w:customStyle="1">
    <w:name w:val="Заголовок 1 Знак"/>
    <w:link w:val="755"/>
    <w:rPr>
      <w:sz w:val="28"/>
    </w:rPr>
  </w:style>
  <w:style w:type="paragraph" w:styleId="942">
    <w:name w:val="Body Text"/>
    <w:basedOn w:val="754"/>
    <w:link w:val="943"/>
    <w:pPr>
      <w:jc w:val="both"/>
    </w:pPr>
    <w:rPr>
      <w:sz w:val="28"/>
      <w:szCs w:val="20"/>
    </w:rPr>
  </w:style>
  <w:style w:type="character" w:styleId="943" w:customStyle="1">
    <w:name w:val="Основной текст Знак"/>
    <w:link w:val="942"/>
    <w:rPr>
      <w:sz w:val="28"/>
    </w:rPr>
  </w:style>
  <w:style w:type="table" w:styleId="944">
    <w:name w:val="Table Grid"/>
    <w:basedOn w:val="76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5">
    <w:name w:val="Balloon Text"/>
    <w:basedOn w:val="754"/>
    <w:link w:val="946"/>
    <w:uiPriority w:val="99"/>
    <w:semiHidden/>
    <w:unhideWhenUsed/>
    <w:rPr>
      <w:rFonts w:ascii="Tahoma" w:hAnsi="Tahoma"/>
      <w:sz w:val="16"/>
      <w:szCs w:val="16"/>
    </w:rPr>
  </w:style>
  <w:style w:type="character" w:styleId="946" w:customStyle="1">
    <w:name w:val="Текст выноски Знак"/>
    <w:link w:val="945"/>
    <w:uiPriority w:val="99"/>
    <w:semiHidden/>
    <w:rPr>
      <w:rFonts w:ascii="Tahoma" w:hAnsi="Tahoma" w:cs="Tahoma"/>
      <w:sz w:val="16"/>
      <w:szCs w:val="16"/>
    </w:rPr>
  </w:style>
  <w:style w:type="character" w:styleId="947" w:customStyle="1">
    <w:name w:val="Гиперссылка1"/>
    <w:uiPriority w:val="99"/>
    <w:rPr>
      <w:rFonts w:cs="Times New Roman"/>
      <w:color w:val="0000ff"/>
      <w:u w:val="single"/>
    </w:rPr>
  </w:style>
  <w:style w:type="paragraph" w:styleId="948" w:customStyle="1">
    <w:name w:val="Основной текст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</dc:title>
  <dc:creator>Селина</dc:creator>
  <cp:revision>47</cp:revision>
  <dcterms:created xsi:type="dcterms:W3CDTF">2023-01-17T02:43:00Z</dcterms:created>
  <dcterms:modified xsi:type="dcterms:W3CDTF">2024-06-17T00:03:39Z</dcterms:modified>
</cp:coreProperties>
</file>